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F887" w14:textId="77777777" w:rsidR="00781F61" w:rsidRPr="007B66A4" w:rsidRDefault="00781F61" w:rsidP="00781F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57776D" w14:textId="77777777" w:rsidR="00781F61" w:rsidRPr="007B66A4" w:rsidRDefault="00781F61" w:rsidP="00781F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8D6053" w14:textId="77777777" w:rsidR="00781F61" w:rsidRPr="007B66A4" w:rsidRDefault="00781F61" w:rsidP="00781F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B50DD2" w14:textId="77777777" w:rsidR="00781F61" w:rsidRPr="007B66A4" w:rsidRDefault="00781F61" w:rsidP="00781F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29846B" w14:textId="54F068BB" w:rsidR="00781F61" w:rsidRPr="007B66A4" w:rsidRDefault="00781F61" w:rsidP="00BF7946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8"/>
          <w:szCs w:val="28"/>
        </w:rPr>
      </w:pPr>
    </w:p>
    <w:p w14:paraId="01C9B153" w14:textId="77777777" w:rsidR="00781F61" w:rsidRPr="007B66A4" w:rsidRDefault="00781F61" w:rsidP="00781F61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sz w:val="28"/>
          <w:szCs w:val="28"/>
        </w:rPr>
      </w:pPr>
    </w:p>
    <w:p w14:paraId="4B41868C" w14:textId="77777777" w:rsidR="005A1059" w:rsidRDefault="005A1059" w:rsidP="00781F61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sz w:val="40"/>
          <w:szCs w:val="40"/>
        </w:rPr>
      </w:pPr>
    </w:p>
    <w:p w14:paraId="0D5C1856" w14:textId="6698F866" w:rsidR="00781F61" w:rsidRPr="00016A4A" w:rsidRDefault="00710F19" w:rsidP="00016A4A">
      <w:pPr>
        <w:pStyle w:val="Default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auto"/>
          <w:sz w:val="36"/>
          <w:szCs w:val="36"/>
        </w:rPr>
        <w:t>COMPLAINTS PROCEDURE</w:t>
      </w:r>
    </w:p>
    <w:p w14:paraId="147DDA69" w14:textId="77777777" w:rsidR="00781F61" w:rsidRDefault="00781F61" w:rsidP="00781F61">
      <w:pPr>
        <w:autoSpaceDE w:val="0"/>
        <w:autoSpaceDN w:val="0"/>
        <w:adjustRightInd w:val="0"/>
        <w:rPr>
          <w:rFonts w:ascii="Arial,Bold" w:hAnsi="Arial,Bold" w:cs="Arial,Bold"/>
          <w:bCs/>
          <w:lang w:eastAsia="en-GB"/>
        </w:rPr>
      </w:pPr>
    </w:p>
    <w:p w14:paraId="3B30A9F0" w14:textId="77777777" w:rsidR="00781F61" w:rsidRDefault="00781F61" w:rsidP="00781F61">
      <w:pPr>
        <w:autoSpaceDE w:val="0"/>
        <w:autoSpaceDN w:val="0"/>
        <w:adjustRightInd w:val="0"/>
        <w:rPr>
          <w:rFonts w:ascii="Arial,Bold" w:hAnsi="Arial,Bold" w:cs="Arial,Bold"/>
          <w:bCs/>
          <w:lang w:eastAsia="en-GB"/>
        </w:rPr>
      </w:pPr>
    </w:p>
    <w:p w14:paraId="3509692E" w14:textId="77777777" w:rsidR="00BF7946" w:rsidRDefault="00BF7946" w:rsidP="00781F61">
      <w:pPr>
        <w:autoSpaceDE w:val="0"/>
        <w:autoSpaceDN w:val="0"/>
        <w:adjustRightInd w:val="0"/>
        <w:rPr>
          <w:rFonts w:ascii="Arial,Bold" w:hAnsi="Arial,Bold" w:cs="Arial,Bold"/>
          <w:bCs/>
          <w:lang w:eastAsia="en-GB"/>
        </w:rPr>
      </w:pPr>
    </w:p>
    <w:p w14:paraId="4091E889" w14:textId="77777777" w:rsidR="00781F61" w:rsidRDefault="00781F61" w:rsidP="00781F61">
      <w:pPr>
        <w:autoSpaceDE w:val="0"/>
        <w:autoSpaceDN w:val="0"/>
        <w:adjustRightInd w:val="0"/>
        <w:rPr>
          <w:rFonts w:ascii="Arial,Bold" w:hAnsi="Arial,Bold" w:cs="Arial,Bold"/>
          <w:bCs/>
          <w:lang w:eastAsia="en-GB"/>
        </w:rPr>
      </w:pPr>
    </w:p>
    <w:p w14:paraId="30951A20" w14:textId="77777777" w:rsidR="00FF601C" w:rsidRDefault="00FF601C" w:rsidP="00781F61">
      <w:pPr>
        <w:autoSpaceDE w:val="0"/>
        <w:autoSpaceDN w:val="0"/>
        <w:adjustRightInd w:val="0"/>
        <w:rPr>
          <w:rFonts w:ascii="Arial,Bold" w:hAnsi="Arial,Bold" w:cs="Arial,Bold"/>
          <w:bCs/>
          <w:lang w:eastAsia="en-GB"/>
        </w:rPr>
      </w:pPr>
    </w:p>
    <w:tbl>
      <w:tblPr>
        <w:tblpPr w:leftFromText="180" w:rightFromText="180" w:bottomFromText="200" w:vertAnchor="text" w:horzAnchor="margin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4502"/>
      </w:tblGrid>
      <w:tr w:rsidR="00110840" w:rsidRPr="00110840" w14:paraId="24DECCF1" w14:textId="77777777" w:rsidTr="0011084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5A3C" w14:textId="77777777" w:rsidR="00110840" w:rsidRPr="00110840" w:rsidRDefault="00110840" w:rsidP="0011084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eastAsia="en-GB"/>
              </w:rPr>
            </w:pPr>
            <w:r w:rsidRPr="00110840">
              <w:rPr>
                <w:rFonts w:ascii="Calibri" w:eastAsia="Calibri" w:hAnsi="Calibri" w:cs="Calibri"/>
                <w:b/>
                <w:lang w:eastAsia="en-GB"/>
              </w:rPr>
              <w:t>Author</w:t>
            </w:r>
            <w:r w:rsidRPr="00110840">
              <w:rPr>
                <w:rFonts w:ascii="Calibri" w:eastAsia="Calibri" w:hAnsi="Calibri" w:cs="Calibri"/>
                <w:bCs/>
                <w:lang w:eastAsia="en-GB"/>
              </w:rPr>
              <w:t>: Kyrstie Mann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D754" w14:textId="77777777" w:rsidR="00110840" w:rsidRDefault="00110840" w:rsidP="0011084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eastAsia="en-GB"/>
              </w:rPr>
            </w:pPr>
            <w:r w:rsidRPr="00110840">
              <w:rPr>
                <w:rFonts w:ascii="Calibri" w:eastAsia="Calibri" w:hAnsi="Calibri" w:cs="Calibri"/>
                <w:b/>
                <w:lang w:eastAsia="en-GB"/>
              </w:rPr>
              <w:t xml:space="preserve">Reviewed: </w:t>
            </w:r>
            <w:r w:rsidRPr="00110840">
              <w:rPr>
                <w:rFonts w:ascii="Calibri" w:eastAsia="Calibri" w:hAnsi="Calibri" w:cs="Calibri"/>
                <w:bCs/>
                <w:lang w:eastAsia="en-GB"/>
              </w:rPr>
              <w:t>August 202</w:t>
            </w:r>
            <w:r w:rsidR="004D1261">
              <w:rPr>
                <w:rFonts w:ascii="Calibri" w:eastAsia="Calibri" w:hAnsi="Calibri" w:cs="Calibri"/>
                <w:bCs/>
                <w:lang w:eastAsia="en-GB"/>
              </w:rPr>
              <w:t>5</w:t>
            </w:r>
          </w:p>
          <w:p w14:paraId="3BCE5D42" w14:textId="22BC5DAD" w:rsidR="00E75554" w:rsidRDefault="00E75554" w:rsidP="00E75554">
            <w:pPr>
              <w:autoSpaceDE w:val="0"/>
              <w:autoSpaceDN w:val="0"/>
              <w:adjustRightInd w:val="0"/>
              <w:rPr>
                <w:rFonts w:ascii="Trebuchet MS" w:hAnsi="Trebuchet MS" w:cs="Arial,Bold"/>
                <w:b/>
                <w:bCs/>
                <w:lang w:eastAsia="en-GB"/>
              </w:rPr>
            </w:pPr>
            <w:r>
              <w:rPr>
                <w:rFonts w:ascii="Trebuchet MS" w:hAnsi="Trebuchet MS" w:cs="Arial,Bold"/>
                <w:b/>
                <w:noProof/>
                <w:lang w:eastAsia="en-GB"/>
              </w:rPr>
              <w:drawing>
                <wp:inline distT="0" distB="0" distL="0" distR="0" wp14:anchorId="3E64CB0C" wp14:editId="72AE45E5">
                  <wp:extent cx="1590675" cy="609600"/>
                  <wp:effectExtent l="0" t="0" r="9525" b="0"/>
                  <wp:docPr id="1200139116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78465" w14:textId="357CD2E8" w:rsidR="00E75554" w:rsidRPr="00E75554" w:rsidRDefault="00E75554" w:rsidP="00E75554">
            <w:pPr>
              <w:autoSpaceDE w:val="0"/>
              <w:autoSpaceDN w:val="0"/>
              <w:adjustRightInd w:val="0"/>
              <w:rPr>
                <w:rFonts w:ascii="Trebuchet MS" w:hAnsi="Trebuchet MS" w:cs="Arial,Bold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rebuchet MS" w:hAnsi="Trebuchet MS" w:cs="Arial,Bold"/>
                <w:b/>
                <w:bCs/>
                <w:lang w:eastAsia="en-GB"/>
              </w:rPr>
              <w:t>Karl Smith</w:t>
            </w:r>
          </w:p>
        </w:tc>
      </w:tr>
      <w:tr w:rsidR="00110840" w:rsidRPr="00110840" w14:paraId="3BF15DF1" w14:textId="77777777" w:rsidTr="00110840">
        <w:trPr>
          <w:trHeight w:val="480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0083" w14:textId="77777777" w:rsidR="00110840" w:rsidRPr="00110840" w:rsidRDefault="00110840" w:rsidP="0011084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eastAsia="en-GB"/>
              </w:rPr>
            </w:pPr>
            <w:r w:rsidRPr="00110840">
              <w:rPr>
                <w:rFonts w:ascii="Calibri" w:eastAsia="Calibri" w:hAnsi="Calibri" w:cs="Calibri"/>
                <w:b/>
                <w:lang w:eastAsia="en-GB"/>
              </w:rPr>
              <w:t>Version 1:</w:t>
            </w:r>
            <w:r w:rsidRPr="00110840">
              <w:rPr>
                <w:rFonts w:ascii="Calibri" w:eastAsia="Calibri" w:hAnsi="Calibri" w:cs="Calibri"/>
                <w:bCs/>
                <w:lang w:eastAsia="en-GB"/>
              </w:rPr>
              <w:t xml:space="preserve"> 2021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5597" w14:textId="1EB7321E" w:rsidR="00110840" w:rsidRPr="00110840" w:rsidRDefault="00110840" w:rsidP="0011084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eastAsia="en-GB"/>
              </w:rPr>
            </w:pPr>
            <w:r w:rsidRPr="00110840">
              <w:rPr>
                <w:rFonts w:ascii="Calibri" w:eastAsia="Calibri" w:hAnsi="Calibri" w:cs="Calibri"/>
                <w:b/>
                <w:lang w:eastAsia="en-GB"/>
              </w:rPr>
              <w:t>Next Review:</w:t>
            </w:r>
            <w:r w:rsidRPr="00110840">
              <w:rPr>
                <w:rFonts w:ascii="Calibri" w:eastAsia="Calibri" w:hAnsi="Calibri" w:cs="Calibri"/>
                <w:bCs/>
                <w:lang w:eastAsia="en-GB"/>
              </w:rPr>
              <w:t xml:space="preserve"> August 202</w:t>
            </w:r>
            <w:r w:rsidR="004D1261">
              <w:rPr>
                <w:rFonts w:ascii="Calibri" w:eastAsia="Calibri" w:hAnsi="Calibri" w:cs="Calibri"/>
                <w:bCs/>
                <w:lang w:eastAsia="en-GB"/>
              </w:rPr>
              <w:t>6</w:t>
            </w:r>
          </w:p>
        </w:tc>
      </w:tr>
      <w:tr w:rsidR="00110840" w:rsidRPr="00110840" w14:paraId="602E7C28" w14:textId="77777777" w:rsidTr="00110840">
        <w:trPr>
          <w:trHeight w:val="1258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2C88" w14:textId="77777777" w:rsidR="00110840" w:rsidRDefault="00110840" w:rsidP="0011084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lang w:eastAsia="en-GB"/>
              </w:rPr>
            </w:pPr>
            <w:r w:rsidRPr="00110840">
              <w:rPr>
                <w:rFonts w:ascii="Calibri" w:eastAsia="Calibri" w:hAnsi="Calibri" w:cs="Calibri"/>
                <w:b/>
                <w:lang w:eastAsia="en-GB"/>
              </w:rPr>
              <w:t>Signature:</w:t>
            </w:r>
          </w:p>
          <w:p w14:paraId="35ADC975" w14:textId="73EEDD83" w:rsidR="004D1261" w:rsidRPr="00110840" w:rsidRDefault="004D1261" w:rsidP="0011084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lang w:eastAsia="en-GB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5E59" w14:textId="77777777" w:rsidR="00110840" w:rsidRPr="00110840" w:rsidRDefault="00110840" w:rsidP="0011084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lang w:eastAsia="en-GB"/>
              </w:rPr>
            </w:pPr>
            <w:r w:rsidRPr="00110840">
              <w:rPr>
                <w:rFonts w:ascii="Calibri" w:eastAsia="Calibri" w:hAnsi="Calibri" w:cs="Calibri"/>
                <w:b/>
                <w:lang w:eastAsia="en-GB"/>
              </w:rPr>
              <w:t>Updates:</w:t>
            </w:r>
          </w:p>
        </w:tc>
      </w:tr>
    </w:tbl>
    <w:p w14:paraId="2B74A27E" w14:textId="77777777" w:rsidR="00FF601C" w:rsidRPr="007B66A4" w:rsidRDefault="00FF601C" w:rsidP="00781F61">
      <w:pPr>
        <w:autoSpaceDE w:val="0"/>
        <w:autoSpaceDN w:val="0"/>
        <w:adjustRightInd w:val="0"/>
        <w:rPr>
          <w:rFonts w:ascii="Arial,Bold" w:hAnsi="Arial,Bold" w:cs="Arial,Bold"/>
          <w:bCs/>
          <w:lang w:eastAsia="en-GB"/>
        </w:rPr>
      </w:pPr>
    </w:p>
    <w:p w14:paraId="53906C3B" w14:textId="56B2816C" w:rsidR="005A1059" w:rsidRDefault="005A1059">
      <w:pPr>
        <w:pStyle w:val="TOCHeading"/>
      </w:pPr>
    </w:p>
    <w:p w14:paraId="747690FC" w14:textId="77777777" w:rsidR="007C447A" w:rsidRDefault="007C447A" w:rsidP="007C447A">
      <w:pPr>
        <w:rPr>
          <w:lang w:val="en-US"/>
        </w:rPr>
      </w:pPr>
    </w:p>
    <w:p w14:paraId="0FD7088D" w14:textId="77777777" w:rsidR="004B65A3" w:rsidRDefault="004B65A3" w:rsidP="007C447A">
      <w:pPr>
        <w:rPr>
          <w:lang w:val="en-US"/>
        </w:rPr>
      </w:pPr>
    </w:p>
    <w:p w14:paraId="4BAADF40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lastRenderedPageBreak/>
        <w:t>Contents</w:t>
      </w:r>
    </w:p>
    <w:p w14:paraId="7543847F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</w:p>
    <w:p w14:paraId="3A3EEBB5" w14:textId="6BAD7FCF" w:rsidR="007C447A" w:rsidRPr="005E49AD" w:rsidRDefault="007C447A" w:rsidP="005E49AD">
      <w:pPr>
        <w:rPr>
          <w:rFonts w:ascii="Verdana" w:hAnsi="Verdana"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t>Introduction &amp; Purpose</w:t>
      </w:r>
    </w:p>
    <w:p w14:paraId="1AE54411" w14:textId="7C47DB1A" w:rsidR="007C447A" w:rsidRPr="005E49AD" w:rsidRDefault="007C447A" w:rsidP="005E49AD">
      <w:pPr>
        <w:rPr>
          <w:rFonts w:ascii="Verdana" w:hAnsi="Verdana"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br/>
        <w:t>Scope of the Policy</w:t>
      </w:r>
    </w:p>
    <w:p w14:paraId="6870F453" w14:textId="1698BAED" w:rsidR="007C447A" w:rsidRPr="005E49AD" w:rsidRDefault="007C447A" w:rsidP="005E49AD">
      <w:pPr>
        <w:rPr>
          <w:rFonts w:ascii="Verdana" w:hAnsi="Verdana"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br/>
        <w:t>Definition of a Complaint</w:t>
      </w:r>
    </w:p>
    <w:p w14:paraId="5059FE2D" w14:textId="3DD45A4B" w:rsidR="007C447A" w:rsidRPr="005E49AD" w:rsidRDefault="007C447A" w:rsidP="005E49AD">
      <w:pPr>
        <w:rPr>
          <w:rFonts w:ascii="Verdana" w:hAnsi="Verdana"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br/>
        <w:t>Principles of Handling Complaints</w:t>
      </w:r>
    </w:p>
    <w:p w14:paraId="2778DF03" w14:textId="07AAC857" w:rsidR="007C447A" w:rsidRPr="005E49AD" w:rsidRDefault="007C447A" w:rsidP="005E49AD">
      <w:pPr>
        <w:rPr>
          <w:rFonts w:ascii="Verdana" w:hAnsi="Verdana"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br/>
        <w:t>How Do I Make My Complaint?</w:t>
      </w:r>
    </w:p>
    <w:p w14:paraId="631047AF" w14:textId="77777777" w:rsidR="007C447A" w:rsidRPr="005E49AD" w:rsidRDefault="007C447A" w:rsidP="005E49AD">
      <w:pPr>
        <w:rPr>
          <w:rFonts w:ascii="Verdana" w:hAnsi="Verdana"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br/>
        <w:t>Information to Include in a Complaint</w:t>
      </w:r>
    </w:p>
    <w:p w14:paraId="029AFD5D" w14:textId="77777777" w:rsidR="007C447A" w:rsidRPr="005E49AD" w:rsidRDefault="007C447A" w:rsidP="005E49AD">
      <w:pPr>
        <w:rPr>
          <w:rFonts w:ascii="Verdana" w:hAnsi="Verdana"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br/>
        <w:t>What Happens Next? (Complaints Process &amp; Timescales)</w:t>
      </w:r>
    </w:p>
    <w:p w14:paraId="0EF684C5" w14:textId="77777777" w:rsidR="007C447A" w:rsidRPr="005E49AD" w:rsidRDefault="007C447A" w:rsidP="005E49AD">
      <w:pPr>
        <w:rPr>
          <w:rFonts w:ascii="Verdana" w:hAnsi="Verdana"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br/>
        <w:t>Escalation Process</w:t>
      </w:r>
    </w:p>
    <w:p w14:paraId="225044F3" w14:textId="77777777" w:rsidR="007C447A" w:rsidRPr="005E49AD" w:rsidRDefault="007C447A" w:rsidP="005E49AD">
      <w:pPr>
        <w:rPr>
          <w:rFonts w:ascii="Verdana" w:hAnsi="Verdana"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br/>
        <w:t>Monitoring, Reporting &amp; Review</w:t>
      </w:r>
    </w:p>
    <w:p w14:paraId="7C71DE6A" w14:textId="77777777" w:rsidR="007C447A" w:rsidRPr="005E49AD" w:rsidRDefault="007C447A" w:rsidP="005E49AD">
      <w:pPr>
        <w:rPr>
          <w:rFonts w:ascii="Verdana" w:hAnsi="Verdana"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br/>
        <w:t>Responsibilities</w:t>
      </w:r>
    </w:p>
    <w:p w14:paraId="376E74EE" w14:textId="77777777" w:rsidR="007C447A" w:rsidRPr="005E49AD" w:rsidRDefault="007C447A" w:rsidP="005E49AD">
      <w:pPr>
        <w:rPr>
          <w:rFonts w:ascii="Verdana" w:hAnsi="Verdana"/>
          <w:b/>
          <w:bCs/>
          <w:sz w:val="24"/>
          <w:szCs w:val="24"/>
        </w:rPr>
      </w:pPr>
      <w:r w:rsidRPr="005E49AD">
        <w:rPr>
          <w:rFonts w:ascii="Verdana" w:hAnsi="Verdana"/>
          <w:sz w:val="24"/>
          <w:szCs w:val="24"/>
        </w:rPr>
        <w:br/>
        <w:t>Confidentiality &amp; Data Protection</w:t>
      </w:r>
    </w:p>
    <w:p w14:paraId="2388A202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4BBBEE82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03B9CB85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09C15C13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59F60590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4E9DDD5C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lastRenderedPageBreak/>
        <w:t>1.0 – Introduction &amp; Purpose</w:t>
      </w:r>
    </w:p>
    <w:p w14:paraId="1941FAA6" w14:textId="287C05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 xml:space="preserve">Learn2 Cornwall is committed to delivering high-quality learning experiences. We recognise that, from time to time, learners </w:t>
      </w:r>
      <w:r w:rsidR="008321E7">
        <w:rPr>
          <w:rFonts w:ascii="Verdana" w:hAnsi="Verdana"/>
          <w:sz w:val="24"/>
          <w:szCs w:val="24"/>
        </w:rPr>
        <w:t xml:space="preserve">and or staff </w:t>
      </w:r>
      <w:r w:rsidRPr="007C447A">
        <w:rPr>
          <w:rFonts w:ascii="Verdana" w:hAnsi="Verdana"/>
          <w:sz w:val="24"/>
          <w:szCs w:val="24"/>
        </w:rPr>
        <w:t xml:space="preserve">may feel dissatisfied with aspects of our services. This policy outlines how </w:t>
      </w:r>
      <w:r w:rsidR="008321E7">
        <w:rPr>
          <w:rFonts w:ascii="Verdana" w:hAnsi="Verdana"/>
          <w:sz w:val="24"/>
          <w:szCs w:val="24"/>
        </w:rPr>
        <w:t>both</w:t>
      </w:r>
      <w:r w:rsidRPr="007C447A">
        <w:rPr>
          <w:rFonts w:ascii="Verdana" w:hAnsi="Verdana"/>
          <w:sz w:val="24"/>
          <w:szCs w:val="24"/>
        </w:rPr>
        <w:t xml:space="preserve"> can raise concerns and how we will respond.</w:t>
      </w:r>
    </w:p>
    <w:p w14:paraId="13397F2F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The purpose of this policy is to:</w:t>
      </w:r>
    </w:p>
    <w:p w14:paraId="1FD0EF7D" w14:textId="77777777" w:rsidR="007C447A" w:rsidRPr="007C447A" w:rsidRDefault="007C447A" w:rsidP="007C447A">
      <w:pPr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Provide a clear and accessible procedure for raising complaints.</w:t>
      </w:r>
    </w:p>
    <w:p w14:paraId="2D8057D7" w14:textId="77777777" w:rsidR="007C447A" w:rsidRPr="007C447A" w:rsidRDefault="007C447A" w:rsidP="007C447A">
      <w:pPr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Ensure complaints are handled in a fair, timely and transparent manner.</w:t>
      </w:r>
    </w:p>
    <w:p w14:paraId="2FB6AD3F" w14:textId="77777777" w:rsidR="007C447A" w:rsidRPr="007C447A" w:rsidRDefault="007C447A" w:rsidP="007C447A">
      <w:pPr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Use complaints as an opportunity to learn, improve, and maintain high standards.</w:t>
      </w:r>
    </w:p>
    <w:p w14:paraId="0E211112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2598A872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2.0 – Scope of the Policy</w:t>
      </w:r>
    </w:p>
    <w:p w14:paraId="6C82ED23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This policy applies to:</w:t>
      </w:r>
    </w:p>
    <w:p w14:paraId="75D03BBE" w14:textId="77777777" w:rsidR="007C447A" w:rsidRPr="007C447A" w:rsidRDefault="007C447A" w:rsidP="007C447A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All learners enrolled with Learn2 Cornwall</w:t>
      </w:r>
    </w:p>
    <w:p w14:paraId="5090D4BE" w14:textId="77777777" w:rsidR="007C447A" w:rsidRPr="007C447A" w:rsidRDefault="007C447A" w:rsidP="007C447A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Prospective learners</w:t>
      </w:r>
    </w:p>
    <w:p w14:paraId="5F3E6C71" w14:textId="77777777" w:rsidR="007C447A" w:rsidRDefault="007C447A" w:rsidP="007C447A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Employers or partners involved in the training of learners</w:t>
      </w:r>
    </w:p>
    <w:p w14:paraId="12A2995E" w14:textId="0D4422D2" w:rsidR="008321E7" w:rsidRPr="007C447A" w:rsidRDefault="008321E7" w:rsidP="007C447A">
      <w:pPr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Staff</w:t>
      </w:r>
    </w:p>
    <w:p w14:paraId="78D308B5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 xml:space="preserve">This policy does </w:t>
      </w:r>
      <w:r w:rsidRPr="007C447A">
        <w:rPr>
          <w:rFonts w:ascii="Verdana" w:hAnsi="Verdana"/>
          <w:b/>
          <w:bCs/>
          <w:sz w:val="24"/>
          <w:szCs w:val="24"/>
        </w:rPr>
        <w:t>not</w:t>
      </w:r>
      <w:r w:rsidRPr="007C447A">
        <w:rPr>
          <w:rFonts w:ascii="Verdana" w:hAnsi="Verdana"/>
          <w:sz w:val="24"/>
          <w:szCs w:val="24"/>
        </w:rPr>
        <w:t xml:space="preserve"> cover:</w:t>
      </w:r>
    </w:p>
    <w:p w14:paraId="530209E7" w14:textId="77777777" w:rsidR="007C447A" w:rsidRPr="007C447A" w:rsidRDefault="007C447A" w:rsidP="007C447A">
      <w:pPr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Appeals against assessment decisions (a separate Appeals Policy applies).</w:t>
      </w:r>
    </w:p>
    <w:p w14:paraId="1042D064" w14:textId="77777777" w:rsidR="007C447A" w:rsidRPr="007C447A" w:rsidRDefault="007C447A" w:rsidP="007C447A">
      <w:pPr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Safeguarding concerns (refer to the Safeguarding Policy).</w:t>
      </w:r>
    </w:p>
    <w:p w14:paraId="6E414E43" w14:textId="77777777" w:rsidR="007C447A" w:rsidRPr="007C447A" w:rsidRDefault="007C447A" w:rsidP="007C447A">
      <w:pPr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Data protection issues (handled under GDPR protocols).</w:t>
      </w:r>
    </w:p>
    <w:p w14:paraId="5A645A8C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56F29096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3.0 – Definition of a Complaint</w:t>
      </w:r>
    </w:p>
    <w:p w14:paraId="32A1C1A1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 xml:space="preserve">A complaint is an </w:t>
      </w:r>
      <w:r w:rsidRPr="007C447A">
        <w:rPr>
          <w:rFonts w:ascii="Verdana" w:hAnsi="Verdana"/>
          <w:b/>
          <w:bCs/>
          <w:sz w:val="24"/>
          <w:szCs w:val="24"/>
        </w:rPr>
        <w:t>expression of dissatisfaction</w:t>
      </w:r>
      <w:r w:rsidRPr="007C447A">
        <w:rPr>
          <w:rFonts w:ascii="Verdana" w:hAnsi="Verdana"/>
          <w:sz w:val="24"/>
          <w:szCs w:val="24"/>
        </w:rPr>
        <w:t xml:space="preserve"> about:</w:t>
      </w:r>
    </w:p>
    <w:p w14:paraId="028E0FFD" w14:textId="77777777" w:rsidR="007C447A" w:rsidRPr="007C447A" w:rsidRDefault="007C447A" w:rsidP="007C447A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lastRenderedPageBreak/>
        <w:t>A service provided (or not provided)</w:t>
      </w:r>
    </w:p>
    <w:p w14:paraId="1F080FDD" w14:textId="77777777" w:rsidR="007C447A" w:rsidRPr="007C447A" w:rsidRDefault="007C447A" w:rsidP="007C447A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The conduct or actions of staff or representatives</w:t>
      </w:r>
    </w:p>
    <w:p w14:paraId="1355588C" w14:textId="77777777" w:rsidR="007C447A" w:rsidRPr="007C447A" w:rsidRDefault="007C447A" w:rsidP="007C447A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Processes or decisions that you feel have not been handled appropriately</w:t>
      </w:r>
    </w:p>
    <w:p w14:paraId="4C32B35F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A complaint may include issues such as:</w:t>
      </w:r>
    </w:p>
    <w:p w14:paraId="50182C69" w14:textId="77777777" w:rsidR="007C447A" w:rsidRPr="007C447A" w:rsidRDefault="007C447A" w:rsidP="007C447A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Poor communication</w:t>
      </w:r>
    </w:p>
    <w:p w14:paraId="4A6C9D5F" w14:textId="77777777" w:rsidR="007C447A" w:rsidRPr="007C447A" w:rsidRDefault="007C447A" w:rsidP="007C447A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Delays in receiving services or support</w:t>
      </w:r>
    </w:p>
    <w:p w14:paraId="43DE2E90" w14:textId="77777777" w:rsidR="007C447A" w:rsidRPr="007C447A" w:rsidRDefault="007C447A" w:rsidP="007C447A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Quality of teaching or resources</w:t>
      </w:r>
    </w:p>
    <w:p w14:paraId="3DAD171D" w14:textId="77777777" w:rsidR="007C447A" w:rsidRPr="007C447A" w:rsidRDefault="007C447A" w:rsidP="007C447A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Behaviour or professionalism of staff</w:t>
      </w:r>
    </w:p>
    <w:p w14:paraId="345C9458" w14:textId="77777777" w:rsidR="007C447A" w:rsidRPr="007C447A" w:rsidRDefault="007C447A" w:rsidP="007C447A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Failure to follow policies or procedures</w:t>
      </w:r>
    </w:p>
    <w:p w14:paraId="5EB3C185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3113E515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4.0 – Principles of Handling Complaints</w:t>
      </w:r>
    </w:p>
    <w:p w14:paraId="63482155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Learn2 Cornwall is committed to ensuring that:</w:t>
      </w:r>
    </w:p>
    <w:p w14:paraId="61339763" w14:textId="77777777" w:rsidR="007C447A" w:rsidRPr="007C447A" w:rsidRDefault="007C447A" w:rsidP="007C447A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Complaints are taken seriously</w:t>
      </w:r>
      <w:r w:rsidRPr="007C447A">
        <w:rPr>
          <w:rFonts w:ascii="Verdana" w:hAnsi="Verdana"/>
          <w:sz w:val="24"/>
          <w:szCs w:val="24"/>
        </w:rPr>
        <w:t xml:space="preserve"> and handled professionally.</w:t>
      </w:r>
    </w:p>
    <w:p w14:paraId="1343A52F" w14:textId="0C839F53" w:rsidR="007C447A" w:rsidRPr="007C447A" w:rsidRDefault="007C447A" w:rsidP="007C447A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 xml:space="preserve">Learners are </w:t>
      </w:r>
      <w:r w:rsidR="00690213" w:rsidRPr="007C447A">
        <w:rPr>
          <w:rFonts w:ascii="Verdana" w:hAnsi="Verdana"/>
          <w:sz w:val="24"/>
          <w:szCs w:val="24"/>
        </w:rPr>
        <w:t>always treated with respect and fairness</w:t>
      </w:r>
      <w:r w:rsidRPr="007C447A">
        <w:rPr>
          <w:rFonts w:ascii="Verdana" w:hAnsi="Verdana"/>
          <w:sz w:val="24"/>
          <w:szCs w:val="24"/>
        </w:rPr>
        <w:t>.</w:t>
      </w:r>
    </w:p>
    <w:p w14:paraId="2524A4FD" w14:textId="77777777" w:rsidR="007C447A" w:rsidRPr="007C447A" w:rsidRDefault="007C447A" w:rsidP="007C447A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 xml:space="preserve">Complaints are investigated </w:t>
      </w:r>
      <w:r w:rsidRPr="007C447A">
        <w:rPr>
          <w:rFonts w:ascii="Verdana" w:hAnsi="Verdana"/>
          <w:b/>
          <w:bCs/>
          <w:sz w:val="24"/>
          <w:szCs w:val="24"/>
        </w:rPr>
        <w:t>promptly, thoroughly, and objectively</w:t>
      </w:r>
      <w:r w:rsidRPr="007C447A">
        <w:rPr>
          <w:rFonts w:ascii="Verdana" w:hAnsi="Verdana"/>
          <w:sz w:val="24"/>
          <w:szCs w:val="24"/>
        </w:rPr>
        <w:t>.</w:t>
      </w:r>
    </w:p>
    <w:p w14:paraId="09DA3822" w14:textId="77777777" w:rsidR="007C447A" w:rsidRPr="007C447A" w:rsidRDefault="007C447A" w:rsidP="007C447A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Complainants are kept informed throughout the process.</w:t>
      </w:r>
    </w:p>
    <w:p w14:paraId="13A82900" w14:textId="77777777" w:rsidR="007C447A" w:rsidRPr="007C447A" w:rsidRDefault="007C447A" w:rsidP="007C447A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 xml:space="preserve">Complaints are logged for </w:t>
      </w:r>
      <w:r w:rsidRPr="007C447A">
        <w:rPr>
          <w:rFonts w:ascii="Verdana" w:hAnsi="Verdana"/>
          <w:b/>
          <w:bCs/>
          <w:sz w:val="24"/>
          <w:szCs w:val="24"/>
        </w:rPr>
        <w:t>monitoring, learning, and quality improvement</w:t>
      </w:r>
      <w:r w:rsidRPr="007C447A">
        <w:rPr>
          <w:rFonts w:ascii="Verdana" w:hAnsi="Verdana"/>
          <w:sz w:val="24"/>
          <w:szCs w:val="24"/>
        </w:rPr>
        <w:t>.</w:t>
      </w:r>
    </w:p>
    <w:p w14:paraId="3539A4C4" w14:textId="77777777" w:rsidR="007C447A" w:rsidRPr="007C447A" w:rsidRDefault="007C447A" w:rsidP="007C447A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 xml:space="preserve">There are </w:t>
      </w:r>
      <w:r w:rsidRPr="007C447A">
        <w:rPr>
          <w:rFonts w:ascii="Verdana" w:hAnsi="Verdana"/>
          <w:b/>
          <w:bCs/>
          <w:sz w:val="24"/>
          <w:szCs w:val="24"/>
        </w:rPr>
        <w:t>no negative consequences</w:t>
      </w:r>
      <w:r w:rsidRPr="007C447A">
        <w:rPr>
          <w:rFonts w:ascii="Verdana" w:hAnsi="Verdana"/>
          <w:sz w:val="24"/>
          <w:szCs w:val="24"/>
        </w:rPr>
        <w:t xml:space="preserve"> for making a complaint.</w:t>
      </w:r>
    </w:p>
    <w:p w14:paraId="7F72BCC7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6FC12CBB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5.0 – How Do I Make My Complaint?</w:t>
      </w:r>
    </w:p>
    <w:p w14:paraId="60DDE74F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Complaints can be made in a range of accessible formats:</w:t>
      </w:r>
    </w:p>
    <w:p w14:paraId="3BFFB8C3" w14:textId="77777777" w:rsidR="007C447A" w:rsidRPr="007C447A" w:rsidRDefault="007C447A" w:rsidP="007C447A">
      <w:pPr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Email</w:t>
      </w:r>
    </w:p>
    <w:p w14:paraId="5C5FDC5E" w14:textId="77777777" w:rsidR="007C447A" w:rsidRPr="007C447A" w:rsidRDefault="007C447A" w:rsidP="007C447A">
      <w:pPr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lastRenderedPageBreak/>
        <w:t>Telephone</w:t>
      </w:r>
    </w:p>
    <w:p w14:paraId="6495DF95" w14:textId="77777777" w:rsidR="007C447A" w:rsidRPr="007C447A" w:rsidRDefault="007C447A" w:rsidP="007C447A">
      <w:pPr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In-person conversation</w:t>
      </w:r>
    </w:p>
    <w:p w14:paraId="64AF445F" w14:textId="77777777" w:rsidR="007C447A" w:rsidRPr="007C447A" w:rsidRDefault="007C447A" w:rsidP="007C447A">
      <w:pPr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Written letter</w:t>
      </w:r>
    </w:p>
    <w:p w14:paraId="32DEEA45" w14:textId="77777777" w:rsidR="007C447A" w:rsidRPr="007C447A" w:rsidRDefault="007C447A" w:rsidP="007C447A">
      <w:pPr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Via a representative or support worker</w:t>
      </w:r>
      <w:r w:rsidRPr="007C447A">
        <w:rPr>
          <w:rFonts w:ascii="Verdana" w:hAnsi="Verdana"/>
          <w:sz w:val="24"/>
          <w:szCs w:val="24"/>
        </w:rPr>
        <w:t>, if required</w:t>
      </w:r>
    </w:p>
    <w:p w14:paraId="5442EB73" w14:textId="2C186569" w:rsidR="00E56BFF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Complaints should be submitted to</w:t>
      </w:r>
      <w:r w:rsidR="00C45CFE">
        <w:rPr>
          <w:rFonts w:ascii="Verdana" w:hAnsi="Verdana"/>
          <w:sz w:val="24"/>
          <w:szCs w:val="24"/>
        </w:rPr>
        <w:t xml:space="preserve"> both</w:t>
      </w:r>
      <w:r w:rsidRPr="007C447A">
        <w:rPr>
          <w:rFonts w:ascii="Verdana" w:hAnsi="Verdana"/>
          <w:sz w:val="24"/>
          <w:szCs w:val="24"/>
        </w:rPr>
        <w:t>:</w:t>
      </w:r>
    </w:p>
    <w:p w14:paraId="6E2EE5C8" w14:textId="6212A6C3" w:rsidR="00E56BFF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br/>
      </w:r>
      <w:hyperlink r:id="rId12" w:history="1">
        <w:r w:rsidR="00C45CFE" w:rsidRPr="00C45CFE">
          <w:rPr>
            <w:rStyle w:val="Hyperlink"/>
            <w:rFonts w:ascii="Verdana" w:hAnsi="Verdana"/>
            <w:sz w:val="24"/>
            <w:szCs w:val="24"/>
          </w:rPr>
          <w:t>info@learn2cornwall.co.uk</w:t>
        </w:r>
      </w:hyperlink>
      <w:r w:rsidRPr="007C447A">
        <w:rPr>
          <w:rFonts w:ascii="Verdana" w:hAnsi="Verdana"/>
          <w:sz w:val="24"/>
          <w:szCs w:val="24"/>
        </w:rPr>
        <w:t xml:space="preserve"> (FAO Kyrstie Mann)</w:t>
      </w:r>
    </w:p>
    <w:p w14:paraId="1F7661E1" w14:textId="76CA037D" w:rsidR="00C33C3B" w:rsidRDefault="00C33C3B" w:rsidP="007C447A">
      <w:pPr>
        <w:rPr>
          <w:rFonts w:ascii="Verdana" w:hAnsi="Verdana"/>
          <w:sz w:val="24"/>
          <w:szCs w:val="24"/>
        </w:rPr>
      </w:pPr>
      <w:hyperlink r:id="rId13" w:history="1">
        <w:r w:rsidRPr="00827DD1">
          <w:rPr>
            <w:rStyle w:val="Hyperlink"/>
            <w:rFonts w:ascii="Verdana" w:hAnsi="Verdana"/>
            <w:sz w:val="24"/>
            <w:szCs w:val="24"/>
          </w:rPr>
          <w:t>Karl@learn2cornwall.co.uk</w:t>
        </w:r>
      </w:hyperlink>
      <w:r>
        <w:rPr>
          <w:rFonts w:ascii="Verdana" w:hAnsi="Verdana"/>
          <w:sz w:val="24"/>
          <w:szCs w:val="24"/>
        </w:rPr>
        <w:t xml:space="preserve"> (FAO Karl Smith)</w:t>
      </w:r>
    </w:p>
    <w:p w14:paraId="2CCE3947" w14:textId="3881FF60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br/>
        <w:t>or discussed verbally with a member of the team, who will log the complaint on your behalf.</w:t>
      </w:r>
    </w:p>
    <w:p w14:paraId="7E7814F5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All complaints are recorded in the Complaints Register for monitoring and improvement purposes.</w:t>
      </w:r>
    </w:p>
    <w:p w14:paraId="5FC8F5BC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3B881B84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6.0 – Information to Include in a Complaint</w:t>
      </w:r>
    </w:p>
    <w:p w14:paraId="6F947835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To support a timely and effective investigation, please include:</w:t>
      </w:r>
    </w:p>
    <w:p w14:paraId="2DD4809E" w14:textId="77777777" w:rsidR="007C447A" w:rsidRPr="007C447A" w:rsidRDefault="007C447A" w:rsidP="007C447A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Your name</w:t>
      </w:r>
    </w:p>
    <w:p w14:paraId="4C56EE83" w14:textId="77777777" w:rsidR="007C447A" w:rsidRPr="007C447A" w:rsidRDefault="007C447A" w:rsidP="007C447A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Your contact details (address, phone number, email)</w:t>
      </w:r>
    </w:p>
    <w:p w14:paraId="3E08EB83" w14:textId="77777777" w:rsidR="007C447A" w:rsidRPr="007C447A" w:rsidRDefault="007C447A" w:rsidP="007C447A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Names of individuals involved (if applicable)</w:t>
      </w:r>
    </w:p>
    <w:p w14:paraId="773FC4D9" w14:textId="77777777" w:rsidR="007C447A" w:rsidRPr="007C447A" w:rsidRDefault="007C447A" w:rsidP="007C447A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A clear description of what happened, what went wrong, or why you are dissatisfied</w:t>
      </w:r>
    </w:p>
    <w:p w14:paraId="646FA4E0" w14:textId="77777777" w:rsidR="007C447A" w:rsidRPr="007C447A" w:rsidRDefault="007C447A" w:rsidP="007C447A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Dates, locations, or relevant background information</w:t>
      </w:r>
    </w:p>
    <w:p w14:paraId="2A1522E2" w14:textId="77777777" w:rsidR="007C447A" w:rsidRPr="007C447A" w:rsidRDefault="007C447A" w:rsidP="007C447A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Copies of any correspondence or evidence that supports your complaint</w:t>
      </w:r>
    </w:p>
    <w:p w14:paraId="07E7F519" w14:textId="77777777" w:rsidR="007C447A" w:rsidRPr="007C447A" w:rsidRDefault="007C447A" w:rsidP="007C447A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The outcome or resolution you are seeking (optional but helpful)</w:t>
      </w:r>
    </w:p>
    <w:p w14:paraId="68B26E03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20335032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lastRenderedPageBreak/>
        <w:t>7.0 – What Happens Next? (Complaints Process &amp; Timescales)</w:t>
      </w:r>
    </w:p>
    <w:p w14:paraId="6B983F3D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7.1 Acknowledgement</w:t>
      </w:r>
    </w:p>
    <w:p w14:paraId="4ABF0663" w14:textId="77777777" w:rsidR="007C447A" w:rsidRPr="007C447A" w:rsidRDefault="007C447A" w:rsidP="007C447A">
      <w:pPr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 xml:space="preserve">You will receive an acknowledgement of your complaint within </w:t>
      </w:r>
      <w:r w:rsidRPr="007C447A">
        <w:rPr>
          <w:rFonts w:ascii="Verdana" w:hAnsi="Verdana"/>
          <w:b/>
          <w:bCs/>
          <w:sz w:val="24"/>
          <w:szCs w:val="24"/>
        </w:rPr>
        <w:t>10 working days</w:t>
      </w:r>
      <w:r w:rsidRPr="007C447A">
        <w:rPr>
          <w:rFonts w:ascii="Verdana" w:hAnsi="Verdana"/>
          <w:sz w:val="24"/>
          <w:szCs w:val="24"/>
        </w:rPr>
        <w:t>.</w:t>
      </w:r>
    </w:p>
    <w:p w14:paraId="1D64EE4A" w14:textId="77777777" w:rsidR="007C447A" w:rsidRDefault="007C447A" w:rsidP="007C447A">
      <w:pPr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If more information is needed, you may be contacted for clarification.</w:t>
      </w:r>
    </w:p>
    <w:p w14:paraId="60B9A0B9" w14:textId="77777777" w:rsidR="005B3F9B" w:rsidRPr="007C447A" w:rsidRDefault="005B3F9B" w:rsidP="005B3F9B">
      <w:pPr>
        <w:ind w:left="720"/>
        <w:rPr>
          <w:rFonts w:ascii="Verdana" w:hAnsi="Verdana"/>
          <w:sz w:val="24"/>
          <w:szCs w:val="24"/>
        </w:rPr>
      </w:pPr>
    </w:p>
    <w:p w14:paraId="44165D0E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7.2 Investigation</w:t>
      </w:r>
    </w:p>
    <w:p w14:paraId="28FCC990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The investigation may involve:</w:t>
      </w:r>
    </w:p>
    <w:p w14:paraId="04CD6D3C" w14:textId="77777777" w:rsidR="007C447A" w:rsidRPr="007C447A" w:rsidRDefault="007C447A" w:rsidP="007C447A">
      <w:pPr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Speaking with relevant staff or individuals</w:t>
      </w:r>
    </w:p>
    <w:p w14:paraId="57E45B0E" w14:textId="77777777" w:rsidR="007C447A" w:rsidRPr="007C447A" w:rsidRDefault="007C447A" w:rsidP="007C447A">
      <w:pPr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Reviewing documentation or records</w:t>
      </w:r>
    </w:p>
    <w:p w14:paraId="6E861421" w14:textId="77777777" w:rsidR="007C447A" w:rsidRPr="007C447A" w:rsidRDefault="007C447A" w:rsidP="007C447A">
      <w:pPr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Assessing whether correct procedures were followed</w:t>
      </w:r>
    </w:p>
    <w:p w14:paraId="28BF3358" w14:textId="77777777" w:rsidR="007C447A" w:rsidRPr="007C447A" w:rsidRDefault="007C447A" w:rsidP="007C447A">
      <w:pPr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Gathering any additional evidence</w:t>
      </w:r>
    </w:p>
    <w:p w14:paraId="4A218C76" w14:textId="17B1B38A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7.3 Response</w:t>
      </w:r>
    </w:p>
    <w:p w14:paraId="04166E60" w14:textId="77777777" w:rsidR="007C447A" w:rsidRPr="007C447A" w:rsidRDefault="007C447A" w:rsidP="007C447A">
      <w:pPr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 xml:space="preserve">A full written response will be provided within </w:t>
      </w:r>
      <w:r w:rsidRPr="007C447A">
        <w:rPr>
          <w:rFonts w:ascii="Verdana" w:hAnsi="Verdana"/>
          <w:b/>
          <w:bCs/>
          <w:sz w:val="24"/>
          <w:szCs w:val="24"/>
        </w:rPr>
        <w:t>30 working days</w:t>
      </w:r>
      <w:r w:rsidRPr="007C447A">
        <w:rPr>
          <w:rFonts w:ascii="Verdana" w:hAnsi="Verdana"/>
          <w:sz w:val="24"/>
          <w:szCs w:val="24"/>
        </w:rPr>
        <w:t>.</w:t>
      </w:r>
    </w:p>
    <w:p w14:paraId="6B9514BE" w14:textId="77777777" w:rsidR="007C447A" w:rsidRPr="007C447A" w:rsidRDefault="007C447A" w:rsidP="007C447A">
      <w:pPr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If delays occur, you will be informed in writing and given a new expected response date.</w:t>
      </w:r>
    </w:p>
    <w:p w14:paraId="51499BE2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7.4 Outcomes May Include:</w:t>
      </w:r>
    </w:p>
    <w:p w14:paraId="0FEE0572" w14:textId="77777777" w:rsidR="007C447A" w:rsidRPr="007C447A" w:rsidRDefault="007C447A" w:rsidP="007C447A">
      <w:pPr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An explanation or clarification</w:t>
      </w:r>
    </w:p>
    <w:p w14:paraId="39539FCF" w14:textId="77777777" w:rsidR="007C447A" w:rsidRPr="007C447A" w:rsidRDefault="007C447A" w:rsidP="007C447A">
      <w:pPr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An apology</w:t>
      </w:r>
    </w:p>
    <w:p w14:paraId="5826A748" w14:textId="77777777" w:rsidR="007C447A" w:rsidRPr="007C447A" w:rsidRDefault="007C447A" w:rsidP="007C447A">
      <w:pPr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Corrective actions</w:t>
      </w:r>
    </w:p>
    <w:p w14:paraId="5DEC6240" w14:textId="77777777" w:rsidR="007C447A" w:rsidRPr="007C447A" w:rsidRDefault="007C447A" w:rsidP="007C447A">
      <w:pPr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Staff training or process changes</w:t>
      </w:r>
    </w:p>
    <w:p w14:paraId="50821D12" w14:textId="77777777" w:rsidR="007C447A" w:rsidRPr="007C447A" w:rsidRDefault="007C447A" w:rsidP="007C447A">
      <w:pPr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No fault found (with explanation)</w:t>
      </w:r>
    </w:p>
    <w:p w14:paraId="2AA223FE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294B82B1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8.0 – Escalation Process</w:t>
      </w:r>
    </w:p>
    <w:p w14:paraId="50E19BB6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lastRenderedPageBreak/>
        <w:t>If you are not satisfied with the response received:</w:t>
      </w:r>
    </w:p>
    <w:p w14:paraId="7A1F8608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8.1 Stage 2 – Internal Review</w:t>
      </w:r>
    </w:p>
    <w:p w14:paraId="2665D6D8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Your complaint can be referred to a member of the Senior Leadership Team or the Managing Director for further review.</w:t>
      </w:r>
    </w:p>
    <w:p w14:paraId="18A541C8" w14:textId="77777777" w:rsidR="0099008A" w:rsidRDefault="0099008A" w:rsidP="007C447A">
      <w:pPr>
        <w:rPr>
          <w:rFonts w:ascii="Verdana" w:hAnsi="Verdana"/>
          <w:b/>
          <w:bCs/>
          <w:sz w:val="24"/>
          <w:szCs w:val="24"/>
        </w:rPr>
      </w:pPr>
    </w:p>
    <w:p w14:paraId="2BEFF2B6" w14:textId="5222B5CC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8.2 Stage 3 – External Referral</w:t>
      </w:r>
    </w:p>
    <w:p w14:paraId="2F3F0C94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If you remain dissatisfied after internal escalation, you may contact relevant external bodies such as:</w:t>
      </w:r>
    </w:p>
    <w:p w14:paraId="20D26927" w14:textId="77777777" w:rsidR="007C447A" w:rsidRPr="007C447A" w:rsidRDefault="007C447A" w:rsidP="007C447A">
      <w:pPr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Awarding Organisations</w:t>
      </w:r>
    </w:p>
    <w:p w14:paraId="4318B969" w14:textId="77777777" w:rsidR="007C447A" w:rsidRPr="007C447A" w:rsidRDefault="007C447A" w:rsidP="007C447A">
      <w:pPr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Funding bodies (e.g., ESFA)</w:t>
      </w:r>
    </w:p>
    <w:p w14:paraId="268DCC7C" w14:textId="77777777" w:rsidR="007C447A" w:rsidRPr="007C447A" w:rsidRDefault="007C447A" w:rsidP="007C447A">
      <w:pPr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Local Authority partners</w:t>
      </w:r>
    </w:p>
    <w:p w14:paraId="28EA74A2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Details will be provided upon request.</w:t>
      </w:r>
    </w:p>
    <w:p w14:paraId="45893E8C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3D315694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9.0 – Monitoring, Reporting &amp; Review</w:t>
      </w:r>
    </w:p>
    <w:p w14:paraId="28D33DD0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 xml:space="preserve">Learn2 Cornwall maintains a </w:t>
      </w:r>
      <w:r w:rsidRPr="007C447A">
        <w:rPr>
          <w:rFonts w:ascii="Verdana" w:hAnsi="Verdana"/>
          <w:b/>
          <w:bCs/>
          <w:sz w:val="24"/>
          <w:szCs w:val="24"/>
        </w:rPr>
        <w:t>Complaints Register</w:t>
      </w:r>
      <w:r w:rsidRPr="007C447A">
        <w:rPr>
          <w:rFonts w:ascii="Verdana" w:hAnsi="Verdana"/>
          <w:sz w:val="24"/>
          <w:szCs w:val="24"/>
        </w:rPr>
        <w:t xml:space="preserve"> which records:</w:t>
      </w:r>
    </w:p>
    <w:p w14:paraId="4AF72A6E" w14:textId="77777777" w:rsidR="007C447A" w:rsidRPr="007C447A" w:rsidRDefault="007C447A" w:rsidP="007C447A">
      <w:pPr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Nature of complaints</w:t>
      </w:r>
    </w:p>
    <w:p w14:paraId="07239DF3" w14:textId="77777777" w:rsidR="007C447A" w:rsidRPr="007C447A" w:rsidRDefault="007C447A" w:rsidP="007C447A">
      <w:pPr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Date received</w:t>
      </w:r>
    </w:p>
    <w:p w14:paraId="7C6F1A89" w14:textId="77777777" w:rsidR="007C447A" w:rsidRPr="007C447A" w:rsidRDefault="007C447A" w:rsidP="007C447A">
      <w:pPr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Investigation outcomes</w:t>
      </w:r>
    </w:p>
    <w:p w14:paraId="4D5A00DD" w14:textId="77777777" w:rsidR="007C447A" w:rsidRPr="007C447A" w:rsidRDefault="007C447A" w:rsidP="007C447A">
      <w:pPr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Time taken to resolve</w:t>
      </w:r>
    </w:p>
    <w:p w14:paraId="10E00B4F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Complaints are:</w:t>
      </w:r>
    </w:p>
    <w:p w14:paraId="7E1E9430" w14:textId="77777777" w:rsidR="007C447A" w:rsidRPr="007C447A" w:rsidRDefault="007C447A" w:rsidP="007C447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Reviewed quarterly</w:t>
      </w:r>
      <w:r w:rsidRPr="007C447A">
        <w:rPr>
          <w:rFonts w:ascii="Verdana" w:hAnsi="Verdana"/>
          <w:sz w:val="24"/>
          <w:szCs w:val="24"/>
        </w:rPr>
        <w:t xml:space="preserve"> by management</w:t>
      </w:r>
    </w:p>
    <w:p w14:paraId="7627E201" w14:textId="77777777" w:rsidR="007C447A" w:rsidRPr="007C447A" w:rsidRDefault="007C447A" w:rsidP="007C447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Analysed for trends</w:t>
      </w:r>
      <w:r w:rsidRPr="007C447A">
        <w:rPr>
          <w:rFonts w:ascii="Verdana" w:hAnsi="Verdana"/>
          <w:sz w:val="24"/>
          <w:szCs w:val="24"/>
        </w:rPr>
        <w:t xml:space="preserve"> to identify areas for improvement</w:t>
      </w:r>
    </w:p>
    <w:p w14:paraId="73164835" w14:textId="77777777" w:rsidR="007C447A" w:rsidRPr="007C447A" w:rsidRDefault="007C447A" w:rsidP="007C447A">
      <w:pPr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Reported annually</w:t>
      </w:r>
      <w:r w:rsidRPr="007C447A">
        <w:rPr>
          <w:rFonts w:ascii="Verdana" w:hAnsi="Verdana"/>
          <w:sz w:val="24"/>
          <w:szCs w:val="24"/>
        </w:rPr>
        <w:t xml:space="preserve"> to the Managing Director as part of quality assurance</w:t>
      </w:r>
    </w:p>
    <w:p w14:paraId="38DCFF3B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11385C85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lastRenderedPageBreak/>
        <w:t>10.0 – Responsibilities</w:t>
      </w:r>
    </w:p>
    <w:p w14:paraId="3A4204E0" w14:textId="77777777" w:rsidR="007C447A" w:rsidRPr="007C447A" w:rsidRDefault="007C447A" w:rsidP="007C447A">
      <w:pPr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Learners</w:t>
      </w:r>
      <w:r w:rsidRPr="007C447A">
        <w:rPr>
          <w:rFonts w:ascii="Verdana" w:hAnsi="Verdana"/>
          <w:sz w:val="24"/>
          <w:szCs w:val="24"/>
        </w:rPr>
        <w:t>: Provide clear information and engage in the process respectfully.</w:t>
      </w:r>
    </w:p>
    <w:p w14:paraId="11C1E5D0" w14:textId="77777777" w:rsidR="007C447A" w:rsidRPr="007C447A" w:rsidRDefault="007C447A" w:rsidP="007C447A">
      <w:pPr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Staff Members</w:t>
      </w:r>
      <w:r w:rsidRPr="007C447A">
        <w:rPr>
          <w:rFonts w:ascii="Verdana" w:hAnsi="Verdana"/>
          <w:sz w:val="24"/>
          <w:szCs w:val="24"/>
        </w:rPr>
        <w:t>: Log complaints and direct them appropriately.</w:t>
      </w:r>
    </w:p>
    <w:p w14:paraId="569A0745" w14:textId="77777777" w:rsidR="007C447A" w:rsidRPr="007C447A" w:rsidRDefault="007C447A" w:rsidP="007C447A">
      <w:pPr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Investigating Officer</w:t>
      </w:r>
      <w:r w:rsidRPr="007C447A">
        <w:rPr>
          <w:rFonts w:ascii="Verdana" w:hAnsi="Verdana"/>
          <w:sz w:val="24"/>
          <w:szCs w:val="24"/>
        </w:rPr>
        <w:t>: Conduct a fair and timely investigation.</w:t>
      </w:r>
    </w:p>
    <w:p w14:paraId="6E15D06F" w14:textId="77777777" w:rsidR="007C447A" w:rsidRPr="007C447A" w:rsidRDefault="007C447A" w:rsidP="007C447A">
      <w:pPr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Managing Director</w:t>
      </w:r>
      <w:r w:rsidRPr="007C447A">
        <w:rPr>
          <w:rFonts w:ascii="Verdana" w:hAnsi="Verdana"/>
          <w:sz w:val="24"/>
          <w:szCs w:val="24"/>
        </w:rPr>
        <w:t>: Ensure compliance, monitoring, and policy review.</w:t>
      </w:r>
    </w:p>
    <w:p w14:paraId="55EA2184" w14:textId="77777777" w:rsidR="007C447A" w:rsidRPr="007C447A" w:rsidRDefault="007C447A" w:rsidP="007C447A">
      <w:pPr>
        <w:rPr>
          <w:rFonts w:ascii="Verdana" w:hAnsi="Verdana"/>
          <w:sz w:val="24"/>
          <w:szCs w:val="24"/>
        </w:rPr>
      </w:pPr>
    </w:p>
    <w:p w14:paraId="1214B413" w14:textId="77777777" w:rsidR="007C447A" w:rsidRPr="007C447A" w:rsidRDefault="007C447A" w:rsidP="007C447A">
      <w:pPr>
        <w:rPr>
          <w:rFonts w:ascii="Verdana" w:hAnsi="Verdana"/>
          <w:b/>
          <w:bCs/>
          <w:sz w:val="24"/>
          <w:szCs w:val="24"/>
        </w:rPr>
      </w:pPr>
      <w:r w:rsidRPr="007C447A">
        <w:rPr>
          <w:rFonts w:ascii="Verdana" w:hAnsi="Verdana"/>
          <w:b/>
          <w:bCs/>
          <w:sz w:val="24"/>
          <w:szCs w:val="24"/>
        </w:rPr>
        <w:t>11.0 – Confidentiality &amp; Data Protection</w:t>
      </w:r>
    </w:p>
    <w:p w14:paraId="3F4CFEB1" w14:textId="77777777" w:rsidR="007C447A" w:rsidRPr="007C447A" w:rsidRDefault="007C447A" w:rsidP="007C447A">
      <w:pPr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All complaints are handled confidentially and in accordance with GDPR.</w:t>
      </w:r>
    </w:p>
    <w:p w14:paraId="07D39236" w14:textId="77777777" w:rsidR="007C447A" w:rsidRPr="007C447A" w:rsidRDefault="007C447A" w:rsidP="007C447A">
      <w:pPr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Information is shared only with individuals involved in investigating the complaint.</w:t>
      </w:r>
    </w:p>
    <w:p w14:paraId="5A9CE726" w14:textId="77777777" w:rsidR="007C447A" w:rsidRPr="007C447A" w:rsidRDefault="007C447A" w:rsidP="007C447A">
      <w:pPr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7C447A">
        <w:rPr>
          <w:rFonts w:ascii="Verdana" w:hAnsi="Verdana"/>
          <w:sz w:val="24"/>
          <w:szCs w:val="24"/>
        </w:rPr>
        <w:t>Complaints data is anonymised when used for reporting and quality improvement.</w:t>
      </w:r>
    </w:p>
    <w:p w14:paraId="505C8C39" w14:textId="77777777" w:rsidR="007C447A" w:rsidRPr="007C447A" w:rsidRDefault="007C447A" w:rsidP="007C447A">
      <w:pPr>
        <w:rPr>
          <w:lang w:val="en-US"/>
        </w:rPr>
      </w:pPr>
    </w:p>
    <w:p w14:paraId="6AB7CF53" w14:textId="77777777" w:rsidR="007C447A" w:rsidRPr="007C447A" w:rsidRDefault="007C447A" w:rsidP="007C447A">
      <w:pPr>
        <w:rPr>
          <w:lang w:val="en-US"/>
        </w:rPr>
      </w:pPr>
    </w:p>
    <w:sectPr w:rsidR="007C447A" w:rsidRPr="007C447A" w:rsidSect="009F7E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C009" w14:textId="77777777" w:rsidR="00250E80" w:rsidRDefault="00250E80" w:rsidP="00B01F2E">
      <w:pPr>
        <w:spacing w:after="0" w:line="240" w:lineRule="auto"/>
      </w:pPr>
      <w:r>
        <w:separator/>
      </w:r>
    </w:p>
  </w:endnote>
  <w:endnote w:type="continuationSeparator" w:id="0">
    <w:p w14:paraId="1D461F48" w14:textId="77777777" w:rsidR="00250E80" w:rsidRDefault="00250E80" w:rsidP="00B0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E09C" w14:textId="77777777" w:rsidR="005019CF" w:rsidRDefault="00501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3931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557F8F" w14:textId="56D02F26" w:rsidR="00BF7946" w:rsidRDefault="00BF79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9305CD" w14:textId="160B71D4" w:rsidR="00B01F2E" w:rsidRDefault="00B01F2E" w:rsidP="00BF794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AD36" w14:textId="77777777" w:rsidR="005019CF" w:rsidRDefault="00501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30B7" w14:textId="77777777" w:rsidR="00250E80" w:rsidRDefault="00250E80" w:rsidP="00B01F2E">
      <w:pPr>
        <w:spacing w:after="0" w:line="240" w:lineRule="auto"/>
      </w:pPr>
      <w:r>
        <w:separator/>
      </w:r>
    </w:p>
  </w:footnote>
  <w:footnote w:type="continuationSeparator" w:id="0">
    <w:p w14:paraId="4973C488" w14:textId="77777777" w:rsidR="00250E80" w:rsidRDefault="00250E80" w:rsidP="00B0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158F" w14:textId="77777777" w:rsidR="005019CF" w:rsidRDefault="00501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0371" w14:textId="3800E03C" w:rsidR="00BF7946" w:rsidRDefault="00BF7946" w:rsidP="00BF7946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826"/>
      <w:gridCol w:w="2824"/>
      <w:gridCol w:w="3366"/>
    </w:tblGrid>
    <w:tr w:rsidR="00BF7946" w14:paraId="70B7B7DB" w14:textId="77777777" w:rsidTr="00BF7946">
      <w:trPr>
        <w:trHeight w:val="1070"/>
      </w:trPr>
      <w:tc>
        <w:tcPr>
          <w:tcW w:w="3080" w:type="dxa"/>
          <w:vAlign w:val="center"/>
        </w:tcPr>
        <w:p w14:paraId="74A765DD" w14:textId="41B7A65B" w:rsidR="00BF7946" w:rsidRPr="00BF7946" w:rsidRDefault="00BF7946" w:rsidP="00BF7946">
          <w:pPr>
            <w:pStyle w:val="Header"/>
            <w:rPr>
              <w:b/>
              <w:bCs/>
              <w:sz w:val="24"/>
              <w:szCs w:val="24"/>
            </w:rPr>
          </w:pPr>
          <w:r w:rsidRPr="00BF7946">
            <w:rPr>
              <w:b/>
              <w:bCs/>
              <w:sz w:val="24"/>
              <w:szCs w:val="24"/>
            </w:rPr>
            <w:t>Procedure Ref</w:t>
          </w:r>
        </w:p>
      </w:tc>
      <w:tc>
        <w:tcPr>
          <w:tcW w:w="3081" w:type="dxa"/>
          <w:vAlign w:val="center"/>
        </w:tcPr>
        <w:p w14:paraId="54FBB76F" w14:textId="0BBB752B" w:rsidR="00BF7946" w:rsidRDefault="00834BBC" w:rsidP="00B6070E">
          <w:pPr>
            <w:pStyle w:val="Header"/>
            <w:jc w:val="center"/>
          </w:pPr>
          <w:r w:rsidRPr="00710F19">
            <w:t>Complaints Procedure</w:t>
          </w:r>
        </w:p>
      </w:tc>
      <w:tc>
        <w:tcPr>
          <w:tcW w:w="3081" w:type="dxa"/>
          <w:vAlign w:val="center"/>
        </w:tcPr>
        <w:p w14:paraId="57B909BF" w14:textId="158B9857" w:rsidR="00BF7946" w:rsidRDefault="005019CF" w:rsidP="00BF7946">
          <w:pPr>
            <w:pStyle w:val="Header"/>
            <w:jc w:val="center"/>
          </w:pPr>
          <w:r>
            <w:rPr>
              <w:rFonts w:ascii="Verdana" w:hAnsi="Verdana"/>
              <w:noProof/>
              <w:color w:val="000000"/>
              <w:lang w:eastAsia="en-GB"/>
            </w:rPr>
            <w:drawing>
              <wp:inline distT="0" distB="0" distL="0" distR="0" wp14:anchorId="224FD974" wp14:editId="26B1FEE0">
                <wp:extent cx="1988185" cy="871855"/>
                <wp:effectExtent l="0" t="0" r="12065" b="4445"/>
                <wp:docPr id="198502923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627624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18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AC5987" w14:textId="4E89BBF1" w:rsidR="0070308A" w:rsidRDefault="0070308A" w:rsidP="0070308A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D51C" w14:textId="77777777" w:rsidR="005019CF" w:rsidRDefault="00501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2D4"/>
    <w:multiLevelType w:val="multilevel"/>
    <w:tmpl w:val="25E6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6401"/>
    <w:multiLevelType w:val="multilevel"/>
    <w:tmpl w:val="AB50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5D1D"/>
    <w:multiLevelType w:val="multilevel"/>
    <w:tmpl w:val="C08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1BBC"/>
    <w:multiLevelType w:val="multilevel"/>
    <w:tmpl w:val="781E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E2DA5"/>
    <w:multiLevelType w:val="hybridMultilevel"/>
    <w:tmpl w:val="B9E6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8B5"/>
    <w:multiLevelType w:val="hybridMultilevel"/>
    <w:tmpl w:val="77D8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2D7F"/>
    <w:multiLevelType w:val="multilevel"/>
    <w:tmpl w:val="28E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309E9"/>
    <w:multiLevelType w:val="multilevel"/>
    <w:tmpl w:val="AB6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D2342"/>
    <w:multiLevelType w:val="multilevel"/>
    <w:tmpl w:val="866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02370"/>
    <w:multiLevelType w:val="hybridMultilevel"/>
    <w:tmpl w:val="7CFC3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0200B"/>
    <w:multiLevelType w:val="multilevel"/>
    <w:tmpl w:val="11FC39C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3B026DD1"/>
    <w:multiLevelType w:val="hybridMultilevel"/>
    <w:tmpl w:val="54EE8ED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881825"/>
    <w:multiLevelType w:val="multilevel"/>
    <w:tmpl w:val="F2A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21261"/>
    <w:multiLevelType w:val="hybridMultilevel"/>
    <w:tmpl w:val="6B74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4538"/>
    <w:multiLevelType w:val="multilevel"/>
    <w:tmpl w:val="847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C7817"/>
    <w:multiLevelType w:val="multilevel"/>
    <w:tmpl w:val="A698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AB468B"/>
    <w:multiLevelType w:val="multilevel"/>
    <w:tmpl w:val="0C42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5588B"/>
    <w:multiLevelType w:val="multilevel"/>
    <w:tmpl w:val="1EE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E2FD3"/>
    <w:multiLevelType w:val="multilevel"/>
    <w:tmpl w:val="E6A6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8627B"/>
    <w:multiLevelType w:val="hybridMultilevel"/>
    <w:tmpl w:val="C7349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372CA"/>
    <w:multiLevelType w:val="hybridMultilevel"/>
    <w:tmpl w:val="F33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D71B9"/>
    <w:multiLevelType w:val="multilevel"/>
    <w:tmpl w:val="376E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1A1621"/>
    <w:multiLevelType w:val="hybridMultilevel"/>
    <w:tmpl w:val="6BF6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E07D4"/>
    <w:multiLevelType w:val="multilevel"/>
    <w:tmpl w:val="DB6E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12951"/>
    <w:multiLevelType w:val="multilevel"/>
    <w:tmpl w:val="9AF6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61A16"/>
    <w:multiLevelType w:val="multilevel"/>
    <w:tmpl w:val="0D0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901979">
    <w:abstractNumId w:val="5"/>
  </w:num>
  <w:num w:numId="2" w16cid:durableId="935021614">
    <w:abstractNumId w:val="13"/>
  </w:num>
  <w:num w:numId="3" w16cid:durableId="1538619733">
    <w:abstractNumId w:val="22"/>
  </w:num>
  <w:num w:numId="4" w16cid:durableId="1808282219">
    <w:abstractNumId w:val="20"/>
  </w:num>
  <w:num w:numId="5" w16cid:durableId="936523863">
    <w:abstractNumId w:val="4"/>
  </w:num>
  <w:num w:numId="6" w16cid:durableId="1331448322">
    <w:abstractNumId w:val="11"/>
  </w:num>
  <w:num w:numId="7" w16cid:durableId="435952657">
    <w:abstractNumId w:val="12"/>
  </w:num>
  <w:num w:numId="8" w16cid:durableId="116030605">
    <w:abstractNumId w:val="18"/>
  </w:num>
  <w:num w:numId="9" w16cid:durableId="1852572401">
    <w:abstractNumId w:val="25"/>
  </w:num>
  <w:num w:numId="10" w16cid:durableId="1820002059">
    <w:abstractNumId w:val="0"/>
  </w:num>
  <w:num w:numId="11" w16cid:durableId="889073476">
    <w:abstractNumId w:val="21"/>
  </w:num>
  <w:num w:numId="12" w16cid:durableId="59064481">
    <w:abstractNumId w:val="3"/>
  </w:num>
  <w:num w:numId="13" w16cid:durableId="1773937412">
    <w:abstractNumId w:val="7"/>
  </w:num>
  <w:num w:numId="14" w16cid:durableId="46153652">
    <w:abstractNumId w:val="23"/>
  </w:num>
  <w:num w:numId="15" w16cid:durableId="1233195280">
    <w:abstractNumId w:val="2"/>
  </w:num>
  <w:num w:numId="16" w16cid:durableId="620189707">
    <w:abstractNumId w:val="14"/>
  </w:num>
  <w:num w:numId="17" w16cid:durableId="1606770029">
    <w:abstractNumId w:val="15"/>
  </w:num>
  <w:num w:numId="18" w16cid:durableId="735280753">
    <w:abstractNumId w:val="16"/>
  </w:num>
  <w:num w:numId="19" w16cid:durableId="1610043521">
    <w:abstractNumId w:val="24"/>
  </w:num>
  <w:num w:numId="20" w16cid:durableId="1725446763">
    <w:abstractNumId w:val="6"/>
  </w:num>
  <w:num w:numId="21" w16cid:durableId="551306157">
    <w:abstractNumId w:val="17"/>
  </w:num>
  <w:num w:numId="22" w16cid:durableId="1358233920">
    <w:abstractNumId w:val="1"/>
  </w:num>
  <w:num w:numId="23" w16cid:durableId="1952856534">
    <w:abstractNumId w:val="8"/>
  </w:num>
  <w:num w:numId="24" w16cid:durableId="1044600189">
    <w:abstractNumId w:val="10"/>
  </w:num>
  <w:num w:numId="25" w16cid:durableId="1706327054">
    <w:abstractNumId w:val="19"/>
  </w:num>
  <w:num w:numId="26" w16cid:durableId="334648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F"/>
    <w:rsid w:val="00016A4A"/>
    <w:rsid w:val="00031F75"/>
    <w:rsid w:val="00060FFC"/>
    <w:rsid w:val="0007376E"/>
    <w:rsid w:val="00097C16"/>
    <w:rsid w:val="0010747A"/>
    <w:rsid w:val="00110840"/>
    <w:rsid w:val="00196B3F"/>
    <w:rsid w:val="001D5F39"/>
    <w:rsid w:val="00211EC7"/>
    <w:rsid w:val="0023038D"/>
    <w:rsid w:val="00250E80"/>
    <w:rsid w:val="00374438"/>
    <w:rsid w:val="0041131B"/>
    <w:rsid w:val="00462E05"/>
    <w:rsid w:val="00472A93"/>
    <w:rsid w:val="004B65A3"/>
    <w:rsid w:val="004D1261"/>
    <w:rsid w:val="005019CF"/>
    <w:rsid w:val="005A1059"/>
    <w:rsid w:val="005B3F9B"/>
    <w:rsid w:val="005D741F"/>
    <w:rsid w:val="005E4099"/>
    <w:rsid w:val="005E49AD"/>
    <w:rsid w:val="00667209"/>
    <w:rsid w:val="00690213"/>
    <w:rsid w:val="0070308A"/>
    <w:rsid w:val="00710F19"/>
    <w:rsid w:val="00740E20"/>
    <w:rsid w:val="00781F61"/>
    <w:rsid w:val="007C447A"/>
    <w:rsid w:val="007E6990"/>
    <w:rsid w:val="008321E7"/>
    <w:rsid w:val="00834BBC"/>
    <w:rsid w:val="00853179"/>
    <w:rsid w:val="008F2B77"/>
    <w:rsid w:val="0099008A"/>
    <w:rsid w:val="009F7EDA"/>
    <w:rsid w:val="00A11932"/>
    <w:rsid w:val="00A37DC9"/>
    <w:rsid w:val="00AB5471"/>
    <w:rsid w:val="00AD4A44"/>
    <w:rsid w:val="00AF10AD"/>
    <w:rsid w:val="00B01F2E"/>
    <w:rsid w:val="00B122AF"/>
    <w:rsid w:val="00B32D1F"/>
    <w:rsid w:val="00B55AA6"/>
    <w:rsid w:val="00B6070E"/>
    <w:rsid w:val="00B74A61"/>
    <w:rsid w:val="00BF7946"/>
    <w:rsid w:val="00C14565"/>
    <w:rsid w:val="00C33C3B"/>
    <w:rsid w:val="00C45CFE"/>
    <w:rsid w:val="00C80D72"/>
    <w:rsid w:val="00C92FA3"/>
    <w:rsid w:val="00CC3BF7"/>
    <w:rsid w:val="00CF7390"/>
    <w:rsid w:val="00D31762"/>
    <w:rsid w:val="00D476E5"/>
    <w:rsid w:val="00D6778C"/>
    <w:rsid w:val="00D93008"/>
    <w:rsid w:val="00DD7AB6"/>
    <w:rsid w:val="00E27656"/>
    <w:rsid w:val="00E449FC"/>
    <w:rsid w:val="00E546FA"/>
    <w:rsid w:val="00E56BFF"/>
    <w:rsid w:val="00E662DE"/>
    <w:rsid w:val="00E75554"/>
    <w:rsid w:val="00ED7039"/>
    <w:rsid w:val="00EF5853"/>
    <w:rsid w:val="00F92380"/>
    <w:rsid w:val="00F960C9"/>
    <w:rsid w:val="00FA783F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30580"/>
  <w15:docId w15:val="{A8F95D05-C2A1-41E9-A594-4CD2CBBF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4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2E"/>
  </w:style>
  <w:style w:type="paragraph" w:styleId="Footer">
    <w:name w:val="footer"/>
    <w:basedOn w:val="Normal"/>
    <w:link w:val="FooterChar"/>
    <w:uiPriority w:val="99"/>
    <w:unhideWhenUsed/>
    <w:rsid w:val="00B01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2E"/>
  </w:style>
  <w:style w:type="table" w:styleId="TableGrid">
    <w:name w:val="Table Grid"/>
    <w:basedOn w:val="TableNormal"/>
    <w:uiPriority w:val="59"/>
    <w:rsid w:val="00BF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D7A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D7AB6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176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31762"/>
    <w:rPr>
      <w:color w:val="0000FF" w:themeColor="hyperlink"/>
      <w:u w:val="single"/>
    </w:rPr>
  </w:style>
  <w:style w:type="paragraph" w:customStyle="1" w:styleId="Default">
    <w:name w:val="Default"/>
    <w:rsid w:val="00710F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4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4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3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l@learn2cornwall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fo@learn2cornwall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C68F2.42EC29A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5A868A6987478C30FC83F5E30338" ma:contentTypeVersion="13" ma:contentTypeDescription="Create a new document." ma:contentTypeScope="" ma:versionID="b96041828a57b8b384b6d833d05e9d05">
  <xsd:schema xmlns:xsd="http://www.w3.org/2001/XMLSchema" xmlns:xs="http://www.w3.org/2001/XMLSchema" xmlns:p="http://schemas.microsoft.com/office/2006/metadata/properties" xmlns:ns2="3ea6e138-0f3a-4543-9996-5f62cc974b2a" xmlns:ns3="bd803681-040f-4e4f-958f-9de89a93836d" targetNamespace="http://schemas.microsoft.com/office/2006/metadata/properties" ma:root="true" ma:fieldsID="cbc19eef69c4b563c57eabfa89938e51" ns2:_="" ns3:_="">
    <xsd:import namespace="3ea6e138-0f3a-4543-9996-5f62cc974b2a"/>
    <xsd:import namespace="bd803681-040f-4e4f-958f-9de89a938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6e138-0f3a-4543-9996-5f62cc974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6a8ccb-ac7f-4571-b8ca-01d167de1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03681-040f-4e4f-958f-9de89a9383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fb647d-ab28-41e0-83e3-8c3e95970cef}" ma:internalName="TaxCatchAll" ma:showField="CatchAllData" ma:web="bd803681-040f-4e4f-958f-9de89a938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03681-040f-4e4f-958f-9de89a93836d" xsi:nil="true"/>
    <lcf76f155ced4ddcb4097134ff3c332f xmlns="3ea6e138-0f3a-4543-9996-5f62cc974b2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324A7-303C-4A3A-B450-69393ADFA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6e138-0f3a-4543-9996-5f62cc974b2a"/>
    <ds:schemaRef ds:uri="bd803681-040f-4e4f-958f-9de89a93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6939C-C467-4457-89CF-450031902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6DE33B-4260-4304-BC8D-A94B74847EBD}">
  <ds:schemaRefs>
    <ds:schemaRef ds:uri="http://schemas.microsoft.com/office/2006/metadata/properties"/>
    <ds:schemaRef ds:uri="http://schemas.microsoft.com/office/infopath/2007/PartnerControls"/>
    <ds:schemaRef ds:uri="bd803681-040f-4e4f-958f-9de89a93836d"/>
    <ds:schemaRef ds:uri="3ea6e138-0f3a-4543-9996-5f62cc974b2a"/>
  </ds:schemaRefs>
</ds:datastoreItem>
</file>

<file path=customXml/itemProps4.xml><?xml version="1.0" encoding="utf-8"?>
<ds:datastoreItem xmlns:ds="http://schemas.openxmlformats.org/officeDocument/2006/customXml" ds:itemID="{84689C64-65DD-483C-9506-F1962D833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kyrst</dc:creator>
  <cp:lastModifiedBy>Karl Smith</cp:lastModifiedBy>
  <cp:revision>28</cp:revision>
  <cp:lastPrinted>2024-06-06T09:06:00Z</cp:lastPrinted>
  <dcterms:created xsi:type="dcterms:W3CDTF">2024-06-26T12:30:00Z</dcterms:created>
  <dcterms:modified xsi:type="dcterms:W3CDTF">2026-07-13T12:01:00Z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0x01010050325A868A6987478C30FC83F5E30338</vt:lpwstr>
  </property>
  <property fmtid="{D5CDD505-2E9C-101B-9397-08002B2CF9AE}" pid="3" name="MediaServiceImageTags">
    <vt:lpwstr/>
  </property>
</Properties>
</file>